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623F8975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670C91">
        <w:rPr>
          <w:rFonts w:ascii="Arial" w:hAnsi="Arial" w:cs="Arial"/>
          <w:sz w:val="16"/>
          <w:szCs w:val="16"/>
        </w:rPr>
        <w:t>1/2021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50A40DBE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1C5533">
        <w:rPr>
          <w:rFonts w:ascii="Arial" w:hAnsi="Arial"/>
          <w:b/>
          <w:bCs/>
          <w:sz w:val="24"/>
          <w:szCs w:val="24"/>
          <w:u w:val="single" w:color="00000A"/>
        </w:rPr>
        <w:t>mięsa i artykułów wędliniarskich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1C5533"/>
    <w:rsid w:val="0025356E"/>
    <w:rsid w:val="002A38A3"/>
    <w:rsid w:val="00317E67"/>
    <w:rsid w:val="003553B5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CD45F8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Golec</cp:lastModifiedBy>
  <cp:revision>5</cp:revision>
  <cp:lastPrinted>2021-03-02T13:26:00Z</cp:lastPrinted>
  <dcterms:created xsi:type="dcterms:W3CDTF">2021-03-03T08:11:00Z</dcterms:created>
  <dcterms:modified xsi:type="dcterms:W3CDTF">2021-11-23T09:45:00Z</dcterms:modified>
</cp:coreProperties>
</file>