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177F13">
        <w:rPr>
          <w:rFonts w:ascii="Arial" w:hAnsi="Arial" w:cs="Arial"/>
          <w:b/>
          <w:sz w:val="20"/>
          <w:szCs w:val="20"/>
        </w:rPr>
        <w:t>drobnego sprzętu laboratoryjnego oraz odczynników diagnostycznych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83361F">
        <w:rPr>
          <w:rFonts w:ascii="Arial" w:hAnsi="Arial" w:cs="Arial"/>
          <w:sz w:val="20"/>
          <w:szCs w:val="20"/>
        </w:rPr>
        <w:t>2</w:t>
      </w:r>
      <w:r w:rsidR="004E368F">
        <w:rPr>
          <w:rFonts w:ascii="Arial" w:hAnsi="Arial" w:cs="Arial"/>
          <w:sz w:val="20"/>
          <w:szCs w:val="20"/>
        </w:rPr>
        <w:t>4</w:t>
      </w:r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77F13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68F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C7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542A-B23B-4D91-B7B9-B4CE4815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3</cp:revision>
  <cp:lastPrinted>2018-05-25T09:02:00Z</cp:lastPrinted>
  <dcterms:created xsi:type="dcterms:W3CDTF">2019-11-13T10:20:00Z</dcterms:created>
  <dcterms:modified xsi:type="dcterms:W3CDTF">2019-11-18T09:54:00Z</dcterms:modified>
</cp:coreProperties>
</file>