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5C94C" w14:textId="596BBA34" w:rsidR="00762346" w:rsidRPr="00762346" w:rsidRDefault="007623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346">
        <w:rPr>
          <w:rFonts w:ascii="Times New Roman" w:hAnsi="Times New Roman" w:cs="Times New Roman"/>
          <w:b/>
          <w:bCs/>
          <w:sz w:val="24"/>
          <w:szCs w:val="24"/>
        </w:rPr>
        <w:t>Pakiet nr 2 – Odczynniki do badania równowagi kwasowo-zasadowej z dzierżawą analizatora</w:t>
      </w:r>
    </w:p>
    <w:p w14:paraId="1259F59B" w14:textId="202FE63F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68A0B56F" w14:textId="12682529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40665AE7" w14:textId="77777777" w:rsidR="0057799B" w:rsidRDefault="0057799B">
      <w:pPr>
        <w:rPr>
          <w:rFonts w:ascii="Times New Roman" w:hAnsi="Times New Roman" w:cs="Times New Roman"/>
          <w:sz w:val="24"/>
          <w:szCs w:val="24"/>
        </w:rPr>
      </w:pPr>
    </w:p>
    <w:p w14:paraId="2D593669" w14:textId="1CEE24EC" w:rsidR="0015409E" w:rsidRPr="00762346" w:rsidRDefault="0015409E" w:rsidP="00762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346">
        <w:rPr>
          <w:rFonts w:ascii="Times New Roman" w:hAnsi="Times New Roman" w:cs="Times New Roman"/>
          <w:b/>
          <w:bCs/>
          <w:sz w:val="24"/>
          <w:szCs w:val="24"/>
        </w:rPr>
        <w:t xml:space="preserve">Szacunkowa ilość badań w ciągu 2 lat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413"/>
        <w:gridCol w:w="3685"/>
        <w:gridCol w:w="4395"/>
      </w:tblGrid>
      <w:tr w:rsidR="0015409E" w14:paraId="252D0CF7" w14:textId="77777777" w:rsidTr="00992653">
        <w:tc>
          <w:tcPr>
            <w:tcW w:w="1413" w:type="dxa"/>
          </w:tcPr>
          <w:p w14:paraId="6424D839" w14:textId="1D0B4D4D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685" w:type="dxa"/>
          </w:tcPr>
          <w:p w14:paraId="7487F7E4" w14:textId="70C69DC9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Badanie</w:t>
            </w:r>
          </w:p>
        </w:tc>
        <w:tc>
          <w:tcPr>
            <w:tcW w:w="4395" w:type="dxa"/>
          </w:tcPr>
          <w:p w14:paraId="1F3DE954" w14:textId="3E080A99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Szacunkowa ilość oznaczeń / 2 lata</w:t>
            </w:r>
          </w:p>
        </w:tc>
      </w:tr>
      <w:tr w:rsidR="0015409E" w14:paraId="183C21AB" w14:textId="77777777" w:rsidTr="00992653">
        <w:tc>
          <w:tcPr>
            <w:tcW w:w="1413" w:type="dxa"/>
          </w:tcPr>
          <w:p w14:paraId="4C572437" w14:textId="3DDDF21C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14:paraId="46152C92" w14:textId="19A973F8" w:rsidR="0015409E" w:rsidRDefault="001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Gazometria </w:t>
            </w:r>
          </w:p>
        </w:tc>
        <w:tc>
          <w:tcPr>
            <w:tcW w:w="4395" w:type="dxa"/>
          </w:tcPr>
          <w:p w14:paraId="355BA7AB" w14:textId="6A06CE56" w:rsidR="0015409E" w:rsidRDefault="0015409E" w:rsidP="00154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0B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14:paraId="0DF27AF5" w14:textId="65262591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037C05D2" w14:textId="31BA34EC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4F8D15E1" w14:textId="728D31E6" w:rsidR="0057799B" w:rsidRDefault="0057799B">
      <w:pPr>
        <w:rPr>
          <w:rFonts w:ascii="Times New Roman" w:hAnsi="Times New Roman" w:cs="Times New Roman"/>
          <w:sz w:val="24"/>
          <w:szCs w:val="24"/>
        </w:rPr>
      </w:pPr>
    </w:p>
    <w:p w14:paraId="2DC04A9A" w14:textId="77777777" w:rsidR="0057799B" w:rsidRDefault="0057799B">
      <w:pPr>
        <w:rPr>
          <w:rFonts w:ascii="Times New Roman" w:hAnsi="Times New Roman" w:cs="Times New Roman"/>
          <w:sz w:val="24"/>
          <w:szCs w:val="24"/>
        </w:rPr>
      </w:pPr>
    </w:p>
    <w:p w14:paraId="0CDCFD15" w14:textId="442559A8" w:rsidR="0015409E" w:rsidRDefault="001540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7B64EF" w14:textId="770B2CED" w:rsidR="006B0843" w:rsidRPr="00762346" w:rsidRDefault="00762346" w:rsidP="00762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6B0843" w:rsidRPr="00762346">
        <w:rPr>
          <w:rFonts w:ascii="Times New Roman" w:hAnsi="Times New Roman" w:cs="Times New Roman"/>
          <w:b/>
          <w:bCs/>
          <w:sz w:val="24"/>
          <w:szCs w:val="24"/>
        </w:rPr>
        <w:t xml:space="preserve">ykaz odczynników i materiałów zużywalnych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8"/>
        <w:gridCol w:w="1937"/>
        <w:gridCol w:w="781"/>
        <w:gridCol w:w="1716"/>
        <w:gridCol w:w="1430"/>
        <w:gridCol w:w="1531"/>
        <w:gridCol w:w="1560"/>
      </w:tblGrid>
      <w:tr w:rsidR="006B0843" w14:paraId="4FA4F1A7" w14:textId="77777777" w:rsidTr="006B0843">
        <w:tc>
          <w:tcPr>
            <w:tcW w:w="538" w:type="dxa"/>
          </w:tcPr>
          <w:p w14:paraId="29BF6107" w14:textId="0A890E2A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937" w:type="dxa"/>
          </w:tcPr>
          <w:p w14:paraId="2DFA25A2" w14:textId="350ED37A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781" w:type="dxa"/>
          </w:tcPr>
          <w:p w14:paraId="70827464" w14:textId="5898E660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  <w:tc>
          <w:tcPr>
            <w:tcW w:w="1716" w:type="dxa"/>
          </w:tcPr>
          <w:p w14:paraId="57B8178A" w14:textId="30449585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katalogowy</w:t>
            </w:r>
          </w:p>
        </w:tc>
        <w:tc>
          <w:tcPr>
            <w:tcW w:w="1430" w:type="dxa"/>
          </w:tcPr>
          <w:p w14:paraId="4C6BE2AC" w14:textId="4553B061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netto (PLN)</w:t>
            </w:r>
          </w:p>
        </w:tc>
        <w:tc>
          <w:tcPr>
            <w:tcW w:w="1531" w:type="dxa"/>
          </w:tcPr>
          <w:p w14:paraId="61E3BCA5" w14:textId="55C73AD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jednostkowa brutto (PLN)</w:t>
            </w:r>
          </w:p>
        </w:tc>
        <w:tc>
          <w:tcPr>
            <w:tcW w:w="1560" w:type="dxa"/>
          </w:tcPr>
          <w:p w14:paraId="78C8EFD0" w14:textId="0B90E360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ogółem brutto (PLN)</w:t>
            </w:r>
          </w:p>
        </w:tc>
      </w:tr>
      <w:tr w:rsidR="006B0843" w14:paraId="62674711" w14:textId="77777777" w:rsidTr="006B0843">
        <w:tc>
          <w:tcPr>
            <w:tcW w:w="538" w:type="dxa"/>
          </w:tcPr>
          <w:p w14:paraId="05D76D83" w14:textId="62214C48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37" w:type="dxa"/>
          </w:tcPr>
          <w:p w14:paraId="3490E5E6" w14:textId="17C6BF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Odczynniki </w:t>
            </w:r>
          </w:p>
        </w:tc>
        <w:tc>
          <w:tcPr>
            <w:tcW w:w="781" w:type="dxa"/>
          </w:tcPr>
          <w:p w14:paraId="35D081F2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1B15EF24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338403D5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6A93CE5B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6059F1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843" w14:paraId="627673BE" w14:textId="77777777" w:rsidTr="006B0843">
        <w:tc>
          <w:tcPr>
            <w:tcW w:w="538" w:type="dxa"/>
          </w:tcPr>
          <w:p w14:paraId="2F1E532F" w14:textId="642DD40C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37" w:type="dxa"/>
          </w:tcPr>
          <w:p w14:paraId="3969FD27" w14:textId="2CE0057D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Materiały eksploatacyjne </w:t>
            </w:r>
          </w:p>
        </w:tc>
        <w:tc>
          <w:tcPr>
            <w:tcW w:w="781" w:type="dxa"/>
          </w:tcPr>
          <w:p w14:paraId="32219B28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14:paraId="4E4A2D24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EB28F3B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32D730B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A35812" w14:textId="77777777" w:rsidR="006B0843" w:rsidRDefault="006B08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D483D" w14:textId="4F92B6CB" w:rsidR="006B0843" w:rsidRPr="006B0843" w:rsidRDefault="006B0843">
      <w:pPr>
        <w:rPr>
          <w:rFonts w:ascii="Times New Roman" w:hAnsi="Times New Roman" w:cs="Times New Roman"/>
          <w:sz w:val="24"/>
          <w:szCs w:val="24"/>
        </w:rPr>
      </w:pPr>
    </w:p>
    <w:p w14:paraId="4BD048F0" w14:textId="20DD08C0" w:rsidR="0015409E" w:rsidRDefault="0015409E">
      <w:pPr>
        <w:rPr>
          <w:rFonts w:ascii="Times New Roman" w:hAnsi="Times New Roman" w:cs="Times New Roman"/>
          <w:sz w:val="24"/>
          <w:szCs w:val="24"/>
        </w:rPr>
      </w:pPr>
    </w:p>
    <w:p w14:paraId="5AA57C33" w14:textId="199A9130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59C09E0D" w14:textId="4D7C3ABA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31E5E1E4" w14:textId="5B17A604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3548DE84" w14:textId="478D397B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0FE3011F" w14:textId="12AEC926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566763D6" w14:textId="576DE8F3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2E8E94CF" w14:textId="2EEF9D92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397CB1BF" w14:textId="7FBBBFB4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60B65BFE" w14:textId="4EF40600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029708F8" w14:textId="773FB2D6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61BCA40B" w14:textId="77777777" w:rsidR="00762346" w:rsidRDefault="00762346">
      <w:pPr>
        <w:rPr>
          <w:rFonts w:ascii="Times New Roman" w:hAnsi="Times New Roman" w:cs="Times New Roman"/>
          <w:sz w:val="24"/>
          <w:szCs w:val="24"/>
        </w:rPr>
      </w:pPr>
    </w:p>
    <w:p w14:paraId="1CB4B39B" w14:textId="689036FF" w:rsidR="00762346" w:rsidRPr="00762346" w:rsidRDefault="00762346" w:rsidP="0076234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62346">
        <w:rPr>
          <w:rFonts w:ascii="Times New Roman" w:hAnsi="Times New Roman" w:cs="Times New Roman"/>
          <w:b/>
          <w:bCs/>
          <w:sz w:val="24"/>
          <w:szCs w:val="24"/>
        </w:rPr>
        <w:lastRenderedPageBreak/>
        <w:t>Wymagane parametry graniczne dla analizatora równowagi kwasowo – zasadowej i odczynników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762346" w14:paraId="7321FE70" w14:textId="77777777" w:rsidTr="000C3CAD">
        <w:tc>
          <w:tcPr>
            <w:tcW w:w="1129" w:type="dxa"/>
          </w:tcPr>
          <w:p w14:paraId="5B5AF861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3" w:type="dxa"/>
          </w:tcPr>
          <w:p w14:paraId="4BF78E7C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parametru granicznego</w:t>
            </w:r>
          </w:p>
        </w:tc>
      </w:tr>
      <w:tr w:rsidR="00762346" w14:paraId="391EBAAC" w14:textId="77777777" w:rsidTr="000C3CAD">
        <w:tc>
          <w:tcPr>
            <w:tcW w:w="1129" w:type="dxa"/>
          </w:tcPr>
          <w:p w14:paraId="7A2B1541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61DB6781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równowagi kwasowo – zasadowej, nie starszy niż 2016r.</w:t>
            </w:r>
          </w:p>
        </w:tc>
      </w:tr>
      <w:tr w:rsidR="00762346" w14:paraId="2660B569" w14:textId="77777777" w:rsidTr="000C3CAD">
        <w:tc>
          <w:tcPr>
            <w:tcW w:w="1129" w:type="dxa"/>
          </w:tcPr>
          <w:p w14:paraId="6AEC2728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0A71F19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Automatyczny analizator kasetowy parametrów krytycznych.</w:t>
            </w:r>
          </w:p>
        </w:tc>
      </w:tr>
      <w:tr w:rsidR="00762346" w14:paraId="77E61B2C" w14:textId="77777777" w:rsidTr="000C3CAD">
        <w:tc>
          <w:tcPr>
            <w:tcW w:w="1129" w:type="dxa"/>
          </w:tcPr>
          <w:p w14:paraId="671C40E1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1F1E4DF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Jednoczesne oznaczanie parametrów pH, pCO2, pO2.</w:t>
            </w:r>
          </w:p>
        </w:tc>
      </w:tr>
      <w:tr w:rsidR="00762346" w14:paraId="0B049E05" w14:textId="77777777" w:rsidTr="000C3CAD">
        <w:tc>
          <w:tcPr>
            <w:tcW w:w="1129" w:type="dxa"/>
          </w:tcPr>
          <w:p w14:paraId="51AD50DB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103D4BA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Oprogramowanie analizatora w języku polskim.</w:t>
            </w:r>
          </w:p>
        </w:tc>
      </w:tr>
      <w:tr w:rsidR="00762346" w14:paraId="669BEDCD" w14:textId="77777777" w:rsidTr="000C3CAD">
        <w:tc>
          <w:tcPr>
            <w:tcW w:w="1129" w:type="dxa"/>
          </w:tcPr>
          <w:p w14:paraId="4B2ECD01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D7B84A1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pracujący w systemie ciągłym.</w:t>
            </w:r>
          </w:p>
        </w:tc>
      </w:tr>
      <w:tr w:rsidR="00762346" w14:paraId="719051D2" w14:textId="77777777" w:rsidTr="000C3CAD">
        <w:tc>
          <w:tcPr>
            <w:tcW w:w="1129" w:type="dxa"/>
          </w:tcPr>
          <w:p w14:paraId="06FEBF19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75F5CB97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wprowadzenia aparatu w tryb „wstrzymania” w celu zredukowania kosztów materiałów eksploatacyjnych, podczas oczekiwania na analizę kolejnej próbki.</w:t>
            </w:r>
          </w:p>
        </w:tc>
      </w:tr>
      <w:tr w:rsidR="00762346" w14:paraId="350D9721" w14:textId="77777777" w:rsidTr="000C3CAD">
        <w:tc>
          <w:tcPr>
            <w:tcW w:w="1129" w:type="dxa"/>
          </w:tcPr>
          <w:p w14:paraId="489FC9C5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350C545F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Możliwość wykonania badań we krwi pobranej do kapilary i strzykawki.</w:t>
            </w:r>
          </w:p>
        </w:tc>
      </w:tr>
      <w:tr w:rsidR="00762346" w14:paraId="626416A3" w14:textId="77777777" w:rsidTr="000C3CAD">
        <w:tc>
          <w:tcPr>
            <w:tcW w:w="1129" w:type="dxa"/>
          </w:tcPr>
          <w:p w14:paraId="656BA5ED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6DC9663D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objętość próbki do 75µl.</w:t>
            </w:r>
          </w:p>
        </w:tc>
      </w:tr>
      <w:tr w:rsidR="00762346" w14:paraId="121C5E49" w14:textId="77777777" w:rsidTr="000C3CAD">
        <w:tc>
          <w:tcPr>
            <w:tcW w:w="1129" w:type="dxa"/>
          </w:tcPr>
          <w:p w14:paraId="34C55B62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124F9539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Identyfikacja próbek badanych przy użyciu czytnika kodów kreskowych.</w:t>
            </w:r>
          </w:p>
        </w:tc>
      </w:tr>
      <w:tr w:rsidR="00762346" w14:paraId="5B410D15" w14:textId="77777777" w:rsidTr="000C3CAD">
        <w:tc>
          <w:tcPr>
            <w:tcW w:w="1129" w:type="dxa"/>
          </w:tcPr>
          <w:p w14:paraId="6559E14C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4250517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elektrody bezobsługowe w postaci kasety sensorowej.</w:t>
            </w:r>
          </w:p>
        </w:tc>
      </w:tr>
      <w:tr w:rsidR="00762346" w14:paraId="206081FC" w14:textId="77777777" w:rsidTr="000C3CAD">
        <w:tc>
          <w:tcPr>
            <w:tcW w:w="1129" w:type="dxa"/>
          </w:tcPr>
          <w:p w14:paraId="699FD4A4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33AD74A4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 kalibracja jednopunktowa i dwupunktowa bez użycia butli gazowych.</w:t>
            </w:r>
          </w:p>
        </w:tc>
      </w:tr>
      <w:tr w:rsidR="00762346" w14:paraId="217420EC" w14:textId="77777777" w:rsidTr="000C3CAD">
        <w:tc>
          <w:tcPr>
            <w:tcW w:w="1129" w:type="dxa"/>
          </w:tcPr>
          <w:p w14:paraId="3167622F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662E8368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Automatyczna codzienna kontrola jakości na trzech poziomach, bez konieczności uzupełniania materiałów kontrolnych.</w:t>
            </w:r>
          </w:p>
        </w:tc>
      </w:tr>
      <w:tr w:rsidR="00762346" w14:paraId="114C8BE1" w14:textId="77777777" w:rsidTr="000C3CAD">
        <w:tc>
          <w:tcPr>
            <w:tcW w:w="1129" w:type="dxa"/>
          </w:tcPr>
          <w:p w14:paraId="7F1FC609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0FD5257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Osobne kasety odczynnikowe i kasety z elektrodami z możliwością ich reinstalacji.</w:t>
            </w:r>
          </w:p>
        </w:tc>
      </w:tr>
      <w:tr w:rsidR="00762346" w14:paraId="1D50902D" w14:textId="77777777" w:rsidTr="000C3CAD">
        <w:tc>
          <w:tcPr>
            <w:tcW w:w="1129" w:type="dxa"/>
          </w:tcPr>
          <w:p w14:paraId="409EFA06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DEAA1DE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analizatora przy użyciu ekranu dotykowego.</w:t>
            </w:r>
          </w:p>
        </w:tc>
      </w:tr>
      <w:tr w:rsidR="00762346" w14:paraId="743D9E6C" w14:textId="77777777" w:rsidTr="000C3CAD">
        <w:tc>
          <w:tcPr>
            <w:tcW w:w="1129" w:type="dxa"/>
          </w:tcPr>
          <w:p w14:paraId="36B7CF9C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4A47587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Analizator i odczynniki od tego samego producenta.</w:t>
            </w:r>
          </w:p>
        </w:tc>
      </w:tr>
      <w:tr w:rsidR="00762346" w14:paraId="51BB7034" w14:textId="77777777" w:rsidTr="000C3CAD">
        <w:tc>
          <w:tcPr>
            <w:tcW w:w="1129" w:type="dxa"/>
          </w:tcPr>
          <w:p w14:paraId="7AF38207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6AD03CDA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Maksymalnie dwie kasety zużywalne.</w:t>
            </w:r>
          </w:p>
        </w:tc>
      </w:tr>
      <w:tr w:rsidR="00762346" w14:paraId="46D89704" w14:textId="77777777" w:rsidTr="000C3CAD">
        <w:tc>
          <w:tcPr>
            <w:tcW w:w="1129" w:type="dxa"/>
          </w:tcPr>
          <w:p w14:paraId="1ECC6238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1E0C454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Monitorowanie poziomu odczynników i odpadów, system ścieków – zamknięty bez konieczności przelewania do innych pojemników w celu utylizacji.</w:t>
            </w:r>
          </w:p>
        </w:tc>
      </w:tr>
      <w:tr w:rsidR="00762346" w14:paraId="68C0C55C" w14:textId="77777777" w:rsidTr="000C3CAD">
        <w:tc>
          <w:tcPr>
            <w:tcW w:w="1129" w:type="dxa"/>
          </w:tcPr>
          <w:p w14:paraId="7E265FBF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213426CA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Odczynniki gotowe do użycia zaraz po otwarciu, stabilność odczynników po otwarciu przez minimum 30 dni.</w:t>
            </w:r>
          </w:p>
        </w:tc>
      </w:tr>
      <w:tr w:rsidR="00762346" w14:paraId="72AAB9D7" w14:textId="77777777" w:rsidTr="000C3CAD">
        <w:tc>
          <w:tcPr>
            <w:tcW w:w="1129" w:type="dxa"/>
          </w:tcPr>
          <w:p w14:paraId="46603A2E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74A4D5CB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Aparat wyposażony we wszystkie odczynniki i materiały zużywalne „na start”, gwarantujące pracę aparatu przez co najmniej miesiąc.</w:t>
            </w:r>
          </w:p>
        </w:tc>
      </w:tr>
      <w:tr w:rsidR="00762346" w14:paraId="0AE91084" w14:textId="77777777" w:rsidTr="000C3CAD">
        <w:tc>
          <w:tcPr>
            <w:tcW w:w="1129" w:type="dxa"/>
          </w:tcPr>
          <w:p w14:paraId="1AA858EE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4768649F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 w roku bezpłatny przegląd analizatora zakończony wpisem do paszportu technicznego.</w:t>
            </w:r>
          </w:p>
        </w:tc>
      </w:tr>
      <w:tr w:rsidR="00762346" w14:paraId="303AEBF6" w14:textId="77777777" w:rsidTr="000C3CAD">
        <w:tc>
          <w:tcPr>
            <w:tcW w:w="1129" w:type="dxa"/>
          </w:tcPr>
          <w:p w14:paraId="2A2B48E2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997D107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Bezpłatny serwis techniczny w trakcie trwania umowy.</w:t>
            </w:r>
          </w:p>
        </w:tc>
      </w:tr>
      <w:tr w:rsidR="00762346" w14:paraId="4804AF05" w14:textId="77777777" w:rsidTr="000C3CAD">
        <w:tc>
          <w:tcPr>
            <w:tcW w:w="1129" w:type="dxa"/>
          </w:tcPr>
          <w:p w14:paraId="5F7AFDDA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C698AF6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zapewni bezpłatne szkolenie personelu laboratorium w miejscu pracy analizatora.</w:t>
            </w:r>
          </w:p>
        </w:tc>
      </w:tr>
      <w:tr w:rsidR="00762346" w14:paraId="49D17FA1" w14:textId="77777777" w:rsidTr="000C3CAD">
        <w:tc>
          <w:tcPr>
            <w:tcW w:w="1129" w:type="dxa"/>
          </w:tcPr>
          <w:p w14:paraId="76BB40BC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08AF580C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Wymagany czas reakcji od momentu zgłoszenia awarii aparatu powinien wynieść 24 godziny. </w:t>
            </w:r>
          </w:p>
        </w:tc>
      </w:tr>
      <w:tr w:rsidR="00762346" w14:paraId="114657DF" w14:textId="77777777" w:rsidTr="000C3CAD">
        <w:tc>
          <w:tcPr>
            <w:tcW w:w="1129" w:type="dxa"/>
          </w:tcPr>
          <w:p w14:paraId="051A10F8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5409A686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Oferent zagwarantuje bezpłatne podłączenie analizatora do działającego w laboratorium systemu informatycznego.</w:t>
            </w:r>
          </w:p>
        </w:tc>
      </w:tr>
      <w:tr w:rsidR="00762346" w14:paraId="5D41AC35" w14:textId="77777777" w:rsidTr="000C3CAD">
        <w:tc>
          <w:tcPr>
            <w:tcW w:w="1129" w:type="dxa"/>
          </w:tcPr>
          <w:p w14:paraId="52A5BCC9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3B483C64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Wymagane dołączenie do oferty deklaracji zgodności EC na oferowany wyrób.</w:t>
            </w:r>
          </w:p>
        </w:tc>
      </w:tr>
      <w:tr w:rsidR="00762346" w14:paraId="5689F99C" w14:textId="77777777" w:rsidTr="000C3CAD">
        <w:tc>
          <w:tcPr>
            <w:tcW w:w="1129" w:type="dxa"/>
          </w:tcPr>
          <w:p w14:paraId="3B784BF7" w14:textId="77777777" w:rsidR="00762346" w:rsidRPr="00F0033E" w:rsidRDefault="00762346" w:rsidP="00762346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3" w:type="dxa"/>
          </w:tcPr>
          <w:p w14:paraId="11070CFD" w14:textId="77777777" w:rsidR="00762346" w:rsidRDefault="00762346" w:rsidP="000C3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Wymóg dołączenia do oferty, zgłoszeń do rejestru wyrobów medycznych i Podmiotów odpowiedzialnych za ich wprowadzenie do obrotu i używanie zgodnie z Ustawą o Wyrobach medycznych.</w:t>
            </w:r>
          </w:p>
        </w:tc>
      </w:tr>
    </w:tbl>
    <w:p w14:paraId="61764E59" w14:textId="77777777" w:rsidR="00762346" w:rsidRPr="0015409E" w:rsidRDefault="00762346">
      <w:pPr>
        <w:rPr>
          <w:rFonts w:ascii="Times New Roman" w:hAnsi="Times New Roman" w:cs="Times New Roman"/>
          <w:sz w:val="24"/>
          <w:szCs w:val="24"/>
        </w:rPr>
      </w:pPr>
    </w:p>
    <w:sectPr w:rsidR="00762346" w:rsidRPr="0015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FA7"/>
    <w:multiLevelType w:val="hybridMultilevel"/>
    <w:tmpl w:val="15DAB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463D8"/>
    <w:multiLevelType w:val="hybridMultilevel"/>
    <w:tmpl w:val="3954B3F2"/>
    <w:lvl w:ilvl="0" w:tplc="4D0049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77"/>
    <w:rsid w:val="0015409E"/>
    <w:rsid w:val="0057799B"/>
    <w:rsid w:val="006B0843"/>
    <w:rsid w:val="00762346"/>
    <w:rsid w:val="00992653"/>
    <w:rsid w:val="00AF0BEB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44F3"/>
  <w15:chartTrackingRefBased/>
  <w15:docId w15:val="{3C26C8FD-D197-4AAC-BB85-D7D1CD35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mmaciejewska@gniezno16.cuwszpitale.pl</dc:creator>
  <cp:keywords/>
  <dc:description/>
  <cp:lastModifiedBy>Barbara Drożdż</cp:lastModifiedBy>
  <cp:revision>3</cp:revision>
  <dcterms:created xsi:type="dcterms:W3CDTF">2019-11-20T11:11:00Z</dcterms:created>
  <dcterms:modified xsi:type="dcterms:W3CDTF">2019-11-25T07:59:00Z</dcterms:modified>
</cp:coreProperties>
</file>